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977D" w14:textId="77777777" w:rsidR="00107701" w:rsidRPr="0059700E" w:rsidRDefault="00EC7235" w:rsidP="0059700E">
      <w:pPr>
        <w:jc w:val="center"/>
        <w:rPr>
          <w:rFonts w:ascii="Trebuchet MS" w:hAnsi="Trebuchet MS" w:cs="Sakkal Majalla"/>
          <w:b/>
        </w:rPr>
      </w:pPr>
      <w:r w:rsidRPr="0059700E">
        <w:rPr>
          <w:rFonts w:ascii="Trebuchet MS" w:hAnsi="Trebuchet MS" w:cs="Sakkal Majalla"/>
          <w:b/>
        </w:rPr>
        <w:t>Bilancio dell’Unione europea</w:t>
      </w:r>
    </w:p>
    <w:p w14:paraId="735C9C01" w14:textId="77777777" w:rsidR="00EC7235" w:rsidRPr="0059700E" w:rsidRDefault="00EC7235" w:rsidP="0059700E">
      <w:pPr>
        <w:jc w:val="center"/>
        <w:rPr>
          <w:rFonts w:ascii="Trebuchet MS" w:hAnsi="Trebuchet MS" w:cs="Sakkal Majalla"/>
          <w:b/>
        </w:rPr>
      </w:pPr>
    </w:p>
    <w:p w14:paraId="4B14A930" w14:textId="77777777" w:rsidR="00EC7235" w:rsidRPr="0059700E" w:rsidRDefault="00EC7235" w:rsidP="0059700E">
      <w:pPr>
        <w:jc w:val="center"/>
        <w:rPr>
          <w:rFonts w:ascii="Trebuchet MS" w:hAnsi="Trebuchet MS" w:cs="Sakkal Majalla"/>
        </w:rPr>
      </w:pPr>
    </w:p>
    <w:p w14:paraId="72AB72F9" w14:textId="77777777" w:rsidR="00EC7235" w:rsidRPr="0059700E" w:rsidRDefault="003B75F0" w:rsidP="0059700E">
      <w:pPr>
        <w:ind w:left="284" w:right="284"/>
        <w:contextualSpacing/>
        <w:rPr>
          <w:rFonts w:ascii="Trebuchet MS" w:hAnsi="Trebuchet MS" w:cs="Sakkal Majalla"/>
          <w:i/>
        </w:rPr>
      </w:pPr>
      <w:r w:rsidRPr="0059700E">
        <w:rPr>
          <w:rFonts w:ascii="Trebuchet MS" w:hAnsi="Trebuchet MS" w:cs="Sakkal Majalla"/>
          <w:i/>
        </w:rPr>
        <w:t>Il bilancio dell’Unione europea (UE)</w:t>
      </w:r>
      <w:r w:rsidR="00050D0C" w:rsidRPr="0059700E">
        <w:rPr>
          <w:rFonts w:ascii="Trebuchet MS" w:hAnsi="Trebuchet MS" w:cs="Sakkal Majalla"/>
          <w:i/>
        </w:rPr>
        <w:t xml:space="preserve"> </w:t>
      </w:r>
      <w:r w:rsidRPr="0059700E">
        <w:rPr>
          <w:rFonts w:ascii="Trebuchet MS" w:hAnsi="Trebuchet MS" w:cs="Sakkal Majalla"/>
          <w:i/>
        </w:rPr>
        <w:t>è l’atto che autorizza ogni anno il finanziamento dell’insieme delle attività e degli interventi comunitari. Esso ha come finalità essenziale quella di destinare risorse finanziarie alla realizzazione degli obiettivi fondamentali e delle priorità politiche dell’Unione.</w:t>
      </w:r>
    </w:p>
    <w:p w14:paraId="3666A0CF" w14:textId="77777777" w:rsidR="00EC7235" w:rsidRPr="0059700E" w:rsidRDefault="00EC7235" w:rsidP="0059700E">
      <w:pPr>
        <w:contextualSpacing/>
        <w:rPr>
          <w:rFonts w:ascii="Trebuchet MS" w:hAnsi="Trebuchet MS" w:cs="Sakkal Majalla"/>
        </w:rPr>
      </w:pPr>
    </w:p>
    <w:p w14:paraId="1A3403D6" w14:textId="77777777" w:rsidR="00EC7235" w:rsidRPr="0059700E" w:rsidRDefault="00EC7235" w:rsidP="0059700E">
      <w:pPr>
        <w:contextualSpacing/>
        <w:rPr>
          <w:rFonts w:ascii="Trebuchet MS" w:hAnsi="Trebuchet MS" w:cs="Sakkal Majalla"/>
        </w:rPr>
      </w:pPr>
    </w:p>
    <w:p w14:paraId="5883EC07" w14:textId="77777777" w:rsidR="00EC7235" w:rsidRPr="0059700E" w:rsidRDefault="00EC7235" w:rsidP="0059700E">
      <w:pPr>
        <w:contextualSpacing/>
        <w:rPr>
          <w:rFonts w:ascii="Trebuchet MS" w:hAnsi="Trebuchet MS" w:cs="Sakkal Majalla"/>
          <w:b/>
        </w:rPr>
      </w:pPr>
      <w:r w:rsidRPr="0059700E">
        <w:rPr>
          <w:rFonts w:ascii="Trebuchet MS" w:hAnsi="Trebuchet MS" w:cs="Sakkal Majalla"/>
          <w:b/>
        </w:rPr>
        <w:t>Introduzione</w:t>
      </w:r>
    </w:p>
    <w:p w14:paraId="5802A6BA" w14:textId="77777777" w:rsidR="00EC7235" w:rsidRPr="0059700E" w:rsidRDefault="00EC7235" w:rsidP="0059700E">
      <w:pPr>
        <w:contextualSpacing/>
        <w:rPr>
          <w:rFonts w:ascii="Trebuchet MS" w:hAnsi="Trebuchet MS" w:cs="Sakkal Majalla"/>
        </w:rPr>
      </w:pPr>
    </w:p>
    <w:p w14:paraId="78C313C5" w14:textId="44845312" w:rsidR="00EC7235" w:rsidRPr="0059700E" w:rsidRDefault="00EC7235" w:rsidP="0059700E">
      <w:pPr>
        <w:contextualSpacing/>
        <w:rPr>
          <w:rFonts w:ascii="Trebuchet MS" w:hAnsi="Trebuchet MS" w:cs="Sakkal Majalla"/>
        </w:rPr>
      </w:pPr>
      <w:r w:rsidRPr="0059700E">
        <w:rPr>
          <w:rFonts w:ascii="Trebuchet MS" w:hAnsi="Trebuchet MS" w:cs="Sakkal Majalla"/>
        </w:rPr>
        <w:t>Il sistema delle caratteristiche quantitative e qualitative delle finanze comunitarie si è da sempre evoluto in maniera parallela al processo d’integrazione, costituendo un significativo indicatore del grado di Approfondimento e dello stato di salute del sistema europeo. Il bilancio ha rappresentato sotto questo</w:t>
      </w:r>
      <w:r w:rsidR="00040E0C">
        <w:rPr>
          <w:rFonts w:ascii="Trebuchet MS" w:hAnsi="Trebuchet MS" w:cs="Sakkal Majalla"/>
        </w:rPr>
        <w:t>…</w:t>
      </w:r>
      <w:r w:rsidRPr="0059700E">
        <w:rPr>
          <w:rFonts w:ascii="Trebuchet MS" w:hAnsi="Trebuchet MS" w:cs="Sakkal Majalla"/>
        </w:rPr>
        <w:t xml:space="preserve"> </w:t>
      </w:r>
    </w:p>
    <w:p w14:paraId="6EDA637A" w14:textId="77777777" w:rsidR="00EC7235" w:rsidRPr="0059700E" w:rsidRDefault="00EC7235" w:rsidP="0059700E">
      <w:pPr>
        <w:contextualSpacing/>
        <w:rPr>
          <w:rFonts w:ascii="Trebuchet MS" w:hAnsi="Trebuchet MS" w:cs="Sakkal Majalla"/>
        </w:rPr>
      </w:pPr>
    </w:p>
    <w:p w14:paraId="4B272359" w14:textId="77777777" w:rsidR="00EC7235" w:rsidRPr="0059700E" w:rsidRDefault="00EC7235" w:rsidP="0059700E">
      <w:pPr>
        <w:contextualSpacing/>
        <w:rPr>
          <w:rFonts w:ascii="Trebuchet MS" w:hAnsi="Trebuchet MS" w:cs="Sakkal Majalla"/>
        </w:rPr>
      </w:pPr>
    </w:p>
    <w:p w14:paraId="3783FA0E" w14:textId="77777777" w:rsidR="00EC7235" w:rsidRPr="0059700E" w:rsidRDefault="00050D0C" w:rsidP="0059700E">
      <w:pPr>
        <w:rPr>
          <w:rFonts w:ascii="Trebuchet MS" w:hAnsi="Trebuchet MS" w:cs="Sakkal Majalla"/>
          <w:b/>
        </w:rPr>
      </w:pPr>
      <w:r w:rsidRPr="0059700E">
        <w:rPr>
          <w:rFonts w:ascii="Trebuchet MS" w:hAnsi="Trebuchet MS" w:cs="Sakkal Majalla"/>
          <w:b/>
        </w:rPr>
        <w:t xml:space="preserve">1. </w:t>
      </w:r>
      <w:r w:rsidR="00EC7235" w:rsidRPr="0059700E">
        <w:rPr>
          <w:rFonts w:ascii="Trebuchet MS" w:hAnsi="Trebuchet MS" w:cs="Sakkal Majalla"/>
          <w:b/>
        </w:rPr>
        <w:t>Le tappe fondamentali</w:t>
      </w:r>
    </w:p>
    <w:p w14:paraId="5D1CB411" w14:textId="77777777" w:rsidR="00EC7235" w:rsidRPr="0059700E" w:rsidRDefault="00EC7235" w:rsidP="0059700E">
      <w:pPr>
        <w:contextualSpacing/>
        <w:rPr>
          <w:rFonts w:ascii="Trebuchet MS" w:hAnsi="Trebuchet MS" w:cs="Sakkal Majalla"/>
        </w:rPr>
      </w:pPr>
    </w:p>
    <w:p w14:paraId="3134C6DE" w14:textId="55914424" w:rsidR="00EC7235" w:rsidRPr="0059700E" w:rsidRDefault="00EC7235" w:rsidP="0059700E">
      <w:pPr>
        <w:contextualSpacing/>
        <w:rPr>
          <w:rFonts w:ascii="Trebuchet MS" w:hAnsi="Trebuchet MS" w:cs="Sakkal Majalla"/>
        </w:rPr>
      </w:pPr>
      <w:r w:rsidRPr="0059700E">
        <w:rPr>
          <w:rFonts w:ascii="Trebuchet MS" w:hAnsi="Trebuchet MS" w:cs="Sakkal Majalla"/>
        </w:rPr>
        <w:t xml:space="preserve">Nel 1951 il Trattato di Parigi garantiva la totale indipendenza finanziaria alla Comunità europea del carbone e dell’acciaio (CECA), prevedendo che l’Alta autorità decidesse autonomamente e a maggioranza semplice dei nove membri l’ammontare delle spese e finanziasse tale ammontare tramite una risorsa propria, costituita da un prelievo sulla produzione dell’acciaio, e l’eventuale </w:t>
      </w:r>
      <w:r w:rsidR="009D3EFC">
        <w:rPr>
          <w:rFonts w:ascii="Trebuchet MS" w:hAnsi="Trebuchet MS" w:cs="Sakkal Majalla"/>
        </w:rPr>
        <w:t>“</w:t>
      </w:r>
      <w:r w:rsidRPr="0059700E">
        <w:rPr>
          <w:rFonts w:ascii="Trebuchet MS" w:hAnsi="Trebuchet MS" w:cs="Sakkal Majalla"/>
        </w:rPr>
        <w:t>accensione di prestiti</w:t>
      </w:r>
      <w:r w:rsidR="009D3EFC">
        <w:rPr>
          <w:rFonts w:ascii="Trebuchet MS" w:hAnsi="Trebuchet MS" w:cs="Sakkal Majalla"/>
        </w:rPr>
        <w:t>”</w:t>
      </w:r>
      <w:r w:rsidR="009D3EFC">
        <w:rPr>
          <w:rStyle w:val="Rimandonotaapidipagina"/>
          <w:rFonts w:ascii="Trebuchet MS" w:hAnsi="Trebuchet MS" w:cs="Sakkal Majalla"/>
        </w:rPr>
        <w:footnoteReference w:id="1"/>
      </w:r>
      <w:r w:rsidR="003B75F0" w:rsidRPr="0059700E">
        <w:rPr>
          <w:rFonts w:ascii="Trebuchet MS" w:hAnsi="Trebuchet MS" w:cs="Sakkal Majalla"/>
        </w:rPr>
        <w:t xml:space="preserve"> (Wodak 2015: 23)</w:t>
      </w:r>
      <w:r w:rsidR="00040E0C">
        <w:rPr>
          <w:rFonts w:ascii="Trebuchet MS" w:hAnsi="Trebuchet MS" w:cs="Sakkal Majalla"/>
        </w:rPr>
        <w:t>.</w:t>
      </w:r>
    </w:p>
    <w:p w14:paraId="50BE128E" w14:textId="77777777" w:rsidR="00EC7235" w:rsidRPr="0059700E" w:rsidRDefault="00EC7235" w:rsidP="0059700E">
      <w:pPr>
        <w:contextualSpacing/>
        <w:rPr>
          <w:rFonts w:ascii="Trebuchet MS" w:hAnsi="Trebuchet MS" w:cs="Sakkal Majalla"/>
        </w:rPr>
      </w:pPr>
    </w:p>
    <w:p w14:paraId="26DABE9C" w14:textId="77777777" w:rsidR="00EC7235" w:rsidRPr="0059700E" w:rsidRDefault="00EC7235" w:rsidP="0059700E">
      <w:pPr>
        <w:contextualSpacing/>
        <w:rPr>
          <w:rFonts w:ascii="Trebuchet MS" w:hAnsi="Trebuchet MS" w:cs="Sakkal Majalla"/>
        </w:rPr>
      </w:pPr>
    </w:p>
    <w:p w14:paraId="30CF252A" w14:textId="77777777" w:rsidR="00EC7235" w:rsidRPr="0059700E" w:rsidRDefault="00050D0C" w:rsidP="0059700E">
      <w:pPr>
        <w:rPr>
          <w:rFonts w:ascii="Trebuchet MS" w:hAnsi="Trebuchet MS" w:cs="Sakkal Majalla"/>
          <w:b/>
        </w:rPr>
      </w:pPr>
      <w:r w:rsidRPr="0059700E">
        <w:rPr>
          <w:rFonts w:ascii="Trebuchet MS" w:hAnsi="Trebuchet MS" w:cs="Sakkal Majalla"/>
          <w:b/>
        </w:rPr>
        <w:t xml:space="preserve">1.1 </w:t>
      </w:r>
      <w:r w:rsidR="00EC7235" w:rsidRPr="0059700E">
        <w:rPr>
          <w:rFonts w:ascii="Trebuchet MS" w:hAnsi="Trebuchet MS" w:cs="Sakkal Majalla"/>
          <w:b/>
        </w:rPr>
        <w:t>Tappe</w:t>
      </w:r>
      <w:r w:rsidR="003B75F0" w:rsidRPr="0059700E">
        <w:rPr>
          <w:rFonts w:ascii="Trebuchet MS" w:hAnsi="Trebuchet MS" w:cs="Sakkal Majalla"/>
          <w:b/>
        </w:rPr>
        <w:t xml:space="preserve"> fondamentali</w:t>
      </w:r>
      <w:r w:rsidRPr="0059700E">
        <w:rPr>
          <w:rFonts w:ascii="Trebuchet MS" w:hAnsi="Trebuchet MS" w:cs="Sakkal Majalla"/>
          <w:b/>
        </w:rPr>
        <w:t xml:space="preserve"> </w:t>
      </w:r>
    </w:p>
    <w:p w14:paraId="15D18278" w14:textId="77777777" w:rsidR="00EC7235" w:rsidRPr="0059700E" w:rsidRDefault="00EC7235" w:rsidP="0059700E">
      <w:pPr>
        <w:pStyle w:val="Paragrafoelenco"/>
        <w:ind w:left="405"/>
        <w:rPr>
          <w:rFonts w:ascii="Trebuchet MS" w:hAnsi="Trebuchet MS" w:cs="Sakkal Majalla"/>
        </w:rPr>
      </w:pPr>
    </w:p>
    <w:p w14:paraId="2186F0A4" w14:textId="7782CAFD" w:rsidR="00EC7235" w:rsidRPr="0059700E" w:rsidRDefault="00EC7235" w:rsidP="0059700E">
      <w:pPr>
        <w:contextualSpacing/>
        <w:rPr>
          <w:rFonts w:ascii="Trebuchet MS" w:hAnsi="Trebuchet MS" w:cs="Sakkal Majalla"/>
        </w:rPr>
      </w:pPr>
      <w:r w:rsidRPr="0059700E">
        <w:rPr>
          <w:rFonts w:ascii="Trebuchet MS" w:hAnsi="Trebuchet MS" w:cs="Sakkal Majalla"/>
        </w:rPr>
        <w:t>Nel 1957 il Trattato di Roma (v. Trattati di Roma) istitutivo della Comunità economica europea (CEE) segnava un ritorno al metodo intergovernativo rispetto al comunitarismo della CECA: si stabiliva infatti che l’autorità di bilancio responsabile dell’approvazione a posteriori della sua esecuzione fosse il Consiglio, con decisione all’unanimità (v. Voto alla unanimità), e che il ruolo del Parlamento europeo (Assemblea parlamentare europea fino al 1962) e della Commissione fosse limitato a una funzione consultiva nella</w:t>
      </w:r>
      <w:r w:rsidR="00040E0C">
        <w:rPr>
          <w:rFonts w:ascii="Trebuchet MS" w:hAnsi="Trebuchet MS" w:cs="Sakkal Majalla"/>
        </w:rPr>
        <w:t>…</w:t>
      </w:r>
      <w:r w:rsidRPr="0059700E">
        <w:rPr>
          <w:rFonts w:ascii="Trebuchet MS" w:hAnsi="Trebuchet MS" w:cs="Sakkal Majalla"/>
        </w:rPr>
        <w:t xml:space="preserve"> </w:t>
      </w:r>
    </w:p>
    <w:p w14:paraId="50CA7C26" w14:textId="77777777" w:rsidR="00EC7235" w:rsidRPr="0059700E" w:rsidRDefault="00EC7235" w:rsidP="0059700E">
      <w:pPr>
        <w:contextualSpacing/>
        <w:rPr>
          <w:rFonts w:ascii="Trebuchet MS" w:hAnsi="Trebuchet MS" w:cs="Sakkal Majalla"/>
        </w:rPr>
      </w:pPr>
    </w:p>
    <w:p w14:paraId="03099CF8" w14:textId="446F2A39" w:rsidR="00EC7235" w:rsidRPr="008D2360" w:rsidRDefault="00EC7235" w:rsidP="0059700E">
      <w:pPr>
        <w:ind w:left="284" w:right="284"/>
        <w:contextualSpacing/>
        <w:rPr>
          <w:rFonts w:ascii="Trebuchet MS" w:hAnsi="Trebuchet MS" w:cs="Sakkal Majalla"/>
          <w:sz w:val="22"/>
          <w:szCs w:val="22"/>
        </w:rPr>
      </w:pPr>
      <w:r w:rsidRPr="008D2360">
        <w:rPr>
          <w:rFonts w:ascii="Trebuchet MS" w:hAnsi="Trebuchet MS" w:cs="Sakkal Majalla"/>
          <w:sz w:val="22"/>
          <w:szCs w:val="22"/>
        </w:rPr>
        <w:t>Nel 1962 veniva istituito il Fondo europeo agricolo di orientamento e garanzia (FEOGA), che avrebbe costituito, attraverso la sezione garanzia, lo strumento di finanziamento della Politica agricola comune (PAC), introdotta nel medesimo anno per rispondere alle finalità previste dal Trattato di Roma. Esso ha rappresentato fino ai giorni nostri la principale componente di spesa del bilancio europeo.</w:t>
      </w:r>
    </w:p>
    <w:p w14:paraId="22D77D6F" w14:textId="77777777" w:rsidR="00EC7235" w:rsidRPr="0059700E" w:rsidRDefault="00EC7235" w:rsidP="0059700E">
      <w:pPr>
        <w:contextualSpacing/>
        <w:rPr>
          <w:rFonts w:ascii="Trebuchet MS" w:hAnsi="Trebuchet MS" w:cs="Sakkal Majalla"/>
        </w:rPr>
      </w:pPr>
    </w:p>
    <w:p w14:paraId="3FF3CCAA" w14:textId="42F2B3C4" w:rsidR="003B75F0" w:rsidRPr="0059700E" w:rsidRDefault="00EC7235" w:rsidP="0059700E">
      <w:pPr>
        <w:contextualSpacing/>
        <w:rPr>
          <w:rFonts w:ascii="Trebuchet MS" w:hAnsi="Trebuchet MS" w:cs="Sakkal Majalla"/>
        </w:rPr>
      </w:pPr>
      <w:r w:rsidRPr="0059700E">
        <w:rPr>
          <w:rFonts w:ascii="Trebuchet MS" w:hAnsi="Trebuchet MS" w:cs="Sakkal Majalla"/>
        </w:rPr>
        <w:lastRenderedPageBreak/>
        <w:t>Nel 1970 il Consiglio europeo di Lussemburgo introduceva di fatto il sistema delle risorse proprie, in sostituzione dei contributi nazionali. Permaneva la possibilità di attribuire al bilancio comunitario contributi diretti provenienti dalle tesorerie nazionali, ma con carattere transitorio e decrescente. Dal punto di vista istituzionale, viene stabilito che il Parlamento europeo divenisse uno dei due rami decisionali in tema di bilancio, anche se</w:t>
      </w:r>
      <w:r w:rsidR="005B2056">
        <w:rPr>
          <w:rFonts w:ascii="Trebuchet MS" w:hAnsi="Trebuchet MS" w:cs="Sakkal Majalla"/>
        </w:rPr>
        <w:t>…</w:t>
      </w:r>
      <w:r w:rsidRPr="0059700E">
        <w:rPr>
          <w:rFonts w:ascii="Trebuchet MS" w:hAnsi="Trebuchet MS" w:cs="Sakkal Majalla"/>
        </w:rPr>
        <w:t xml:space="preserve"> </w:t>
      </w:r>
    </w:p>
    <w:p w14:paraId="06FF6F3A" w14:textId="77777777" w:rsidR="003B75F0" w:rsidRPr="0059700E" w:rsidRDefault="003B75F0" w:rsidP="0059700E">
      <w:pPr>
        <w:contextualSpacing/>
        <w:rPr>
          <w:rFonts w:ascii="Trebuchet MS" w:hAnsi="Trebuchet MS" w:cs="Sakkal Majalla"/>
          <w:lang w:val="en-GB"/>
        </w:rPr>
      </w:pPr>
    </w:p>
    <w:p w14:paraId="105AB2E7" w14:textId="77777777" w:rsidR="00183F84" w:rsidRPr="0059700E" w:rsidRDefault="00183F84" w:rsidP="0059700E">
      <w:pPr>
        <w:contextualSpacing/>
        <w:rPr>
          <w:rFonts w:ascii="Trebuchet MS" w:hAnsi="Trebuchet MS" w:cs="Sakkal Majalla"/>
          <w:lang w:val="en-GB"/>
        </w:rPr>
      </w:pPr>
    </w:p>
    <w:p w14:paraId="028E0F8E" w14:textId="565E7BB4" w:rsidR="003B75F0" w:rsidRPr="0059700E" w:rsidRDefault="001D5EF2" w:rsidP="0059700E">
      <w:pPr>
        <w:contextualSpacing/>
        <w:rPr>
          <w:rFonts w:ascii="Trebuchet MS" w:hAnsi="Trebuchet MS" w:cs="Sakkal Majalla"/>
          <w:b/>
          <w:lang w:val="en-GB"/>
        </w:rPr>
      </w:pPr>
      <w:r>
        <w:rPr>
          <w:rFonts w:ascii="Trebuchet MS" w:hAnsi="Trebuchet MS" w:cs="Sakkal Majalla"/>
          <w:b/>
          <w:lang w:val="en-GB"/>
        </w:rPr>
        <w:t>Bibliografia</w:t>
      </w:r>
    </w:p>
    <w:p w14:paraId="1EF76094" w14:textId="77777777" w:rsidR="003B75F0" w:rsidRPr="0059700E" w:rsidRDefault="003B75F0" w:rsidP="0059700E">
      <w:pPr>
        <w:contextualSpacing/>
        <w:rPr>
          <w:rFonts w:ascii="Trebuchet MS" w:hAnsi="Trebuchet MS" w:cs="Sakkal Majalla"/>
          <w:lang w:val="en-GB"/>
        </w:rPr>
      </w:pPr>
    </w:p>
    <w:p w14:paraId="1340C4C5" w14:textId="77777777" w:rsidR="003B75F0" w:rsidRPr="0059700E" w:rsidRDefault="003B75F0" w:rsidP="0059700E">
      <w:pPr>
        <w:contextualSpacing/>
        <w:rPr>
          <w:rFonts w:ascii="Trebuchet MS" w:hAnsi="Trebuchet MS" w:cs="Sakkal Majalla"/>
          <w:lang w:val="en-US"/>
        </w:rPr>
      </w:pPr>
      <w:r w:rsidRPr="0059700E">
        <w:rPr>
          <w:rFonts w:ascii="Trebuchet MS" w:hAnsi="Trebuchet MS" w:cs="Sakkal Majalla"/>
        </w:rPr>
        <w:t xml:space="preserve">Belluati Marinella, Caraffini Paolo (eds) (2015).  </w:t>
      </w:r>
      <w:r w:rsidRPr="0059700E">
        <w:rPr>
          <w:rFonts w:ascii="Trebuchet MS" w:hAnsi="Trebuchet MS" w:cs="Sakkal Majalla"/>
          <w:i/>
        </w:rPr>
        <w:t>L’Unione Europea tra istituzioni e opinione pubblica</w:t>
      </w:r>
      <w:r w:rsidRPr="0059700E">
        <w:rPr>
          <w:rFonts w:ascii="Trebuchet MS" w:hAnsi="Trebuchet MS" w:cs="Sakkal Majalla"/>
        </w:rPr>
        <w:t xml:space="preserve">. </w:t>
      </w:r>
      <w:r w:rsidRPr="0059700E">
        <w:rPr>
          <w:rFonts w:ascii="Trebuchet MS" w:hAnsi="Trebuchet MS" w:cs="Sakkal Majalla"/>
          <w:lang w:val="en-US"/>
        </w:rPr>
        <w:t>Rome: Carocci.</w:t>
      </w:r>
    </w:p>
    <w:p w14:paraId="36C96A1F" w14:textId="77777777" w:rsidR="003B75F0" w:rsidRPr="0059700E" w:rsidRDefault="003B75F0" w:rsidP="0059700E">
      <w:pPr>
        <w:contextualSpacing/>
        <w:rPr>
          <w:rFonts w:ascii="Trebuchet MS" w:hAnsi="Trebuchet MS" w:cs="Sakkal Majalla"/>
          <w:lang w:val="en-US"/>
        </w:rPr>
      </w:pPr>
    </w:p>
    <w:p w14:paraId="6EDA659D" w14:textId="7D7FB710" w:rsidR="007D580B" w:rsidRPr="0059700E" w:rsidRDefault="007D580B" w:rsidP="0059700E">
      <w:pPr>
        <w:widowControl w:val="0"/>
        <w:autoSpaceDE w:val="0"/>
        <w:autoSpaceDN w:val="0"/>
        <w:adjustRightInd w:val="0"/>
        <w:rPr>
          <w:rFonts w:ascii="Trebuchet MS" w:hAnsi="Trebuchet MS" w:cs="Trebuchet MS"/>
          <w:color w:val="000000" w:themeColor="text1"/>
        </w:rPr>
      </w:pPr>
      <w:r w:rsidRPr="0059700E">
        <w:rPr>
          <w:rFonts w:ascii="Trebuchet MS" w:hAnsi="Trebuchet MS" w:cs="Trebuchet MS"/>
          <w:color w:val="000000" w:themeColor="text1"/>
        </w:rPr>
        <w:t>Febvre Lucien (1973). “Sensibility and History: How to Reconstitute the Emotional Life of the Past”. In</w:t>
      </w:r>
      <w:r w:rsidR="005431F7">
        <w:rPr>
          <w:rFonts w:ascii="Trebuchet MS" w:hAnsi="Trebuchet MS" w:cs="Trebuchet MS"/>
          <w:color w:val="000000" w:themeColor="text1"/>
        </w:rPr>
        <w:t>:</w:t>
      </w:r>
      <w:r w:rsidRPr="0059700E">
        <w:rPr>
          <w:rFonts w:ascii="Trebuchet MS" w:hAnsi="Trebuchet MS" w:cs="Trebuchet MS"/>
          <w:color w:val="000000" w:themeColor="text1"/>
        </w:rPr>
        <w:t xml:space="preserve"> Burke Peter (ed.). </w:t>
      </w:r>
      <w:r w:rsidRPr="0059700E">
        <w:rPr>
          <w:rFonts w:ascii="Trebuchet MS" w:hAnsi="Trebuchet MS" w:cs="Trebuchet MS"/>
          <w:i/>
          <w:iCs/>
          <w:color w:val="000000" w:themeColor="text1"/>
        </w:rPr>
        <w:t>A New Kind of History. From the Writings of Febvre</w:t>
      </w:r>
      <w:r w:rsidRPr="0059700E">
        <w:rPr>
          <w:rFonts w:ascii="Trebuchet MS" w:hAnsi="Trebuchet MS" w:cs="Trebuchet MS"/>
          <w:color w:val="000000" w:themeColor="text1"/>
        </w:rPr>
        <w:t xml:space="preserve">. London: Harper &amp; Row, 12-26. </w:t>
      </w:r>
    </w:p>
    <w:p w14:paraId="17B178F6" w14:textId="77777777" w:rsidR="0059700E" w:rsidRPr="0059700E" w:rsidRDefault="0059700E" w:rsidP="0059700E">
      <w:pPr>
        <w:widowControl w:val="0"/>
        <w:autoSpaceDE w:val="0"/>
        <w:autoSpaceDN w:val="0"/>
        <w:adjustRightInd w:val="0"/>
        <w:rPr>
          <w:rFonts w:ascii="Trebuchet MS" w:hAnsi="Trebuchet MS" w:cs="Trebuchet MS"/>
          <w:color w:val="000000" w:themeColor="text1"/>
        </w:rPr>
      </w:pPr>
    </w:p>
    <w:p w14:paraId="355CBF76" w14:textId="7E95FFD8" w:rsidR="0059700E" w:rsidRPr="0059700E" w:rsidRDefault="0059700E" w:rsidP="0059700E">
      <w:pPr>
        <w:widowControl w:val="0"/>
        <w:autoSpaceDE w:val="0"/>
        <w:autoSpaceDN w:val="0"/>
        <w:adjustRightInd w:val="0"/>
        <w:ind w:right="-2"/>
        <w:rPr>
          <w:rFonts w:ascii="Times" w:hAnsi="Times" w:cs="Times"/>
          <w:color w:val="000000"/>
        </w:rPr>
      </w:pPr>
      <w:r w:rsidRPr="0059700E">
        <w:rPr>
          <w:rFonts w:ascii="Trebuchet MS" w:hAnsi="Trebuchet MS" w:cs="Trebuchet MS"/>
          <w:color w:val="000000"/>
        </w:rPr>
        <w:t xml:space="preserve">Müller Bertrand (1996). “Lucien Febvre et Henri Berr: De la synthèse à l’histoire-problème”. </w:t>
      </w:r>
      <w:r w:rsidRPr="0059700E">
        <w:rPr>
          <w:rFonts w:ascii="Trebuchet MS" w:hAnsi="Trebuchet MS" w:cs="Trebuchet MS"/>
          <w:i/>
          <w:iCs/>
          <w:color w:val="000000"/>
        </w:rPr>
        <w:t>Revue de Synthèse</w:t>
      </w:r>
      <w:r w:rsidRPr="0059700E">
        <w:rPr>
          <w:rFonts w:ascii="Trebuchet MS" w:hAnsi="Trebuchet MS" w:cs="Trebuchet MS"/>
          <w:color w:val="000000"/>
        </w:rPr>
        <w:t xml:space="preserve">, vol. 117, n. 1-2, 39-59. </w:t>
      </w:r>
    </w:p>
    <w:p w14:paraId="6D0A74D1" w14:textId="77777777" w:rsidR="007D580B" w:rsidRPr="0059700E" w:rsidRDefault="007D580B" w:rsidP="0059700E">
      <w:pPr>
        <w:contextualSpacing/>
        <w:rPr>
          <w:rFonts w:ascii="Trebuchet MS" w:hAnsi="Trebuchet MS" w:cs="Sakkal Majalla"/>
          <w:lang w:val="en-US"/>
        </w:rPr>
      </w:pPr>
    </w:p>
    <w:p w14:paraId="67F8F5B6" w14:textId="77777777" w:rsidR="003B75F0" w:rsidRDefault="003B75F0" w:rsidP="0059700E">
      <w:pPr>
        <w:contextualSpacing/>
        <w:rPr>
          <w:rFonts w:ascii="Trebuchet MS" w:hAnsi="Trebuchet MS" w:cs="Sakkal Majalla"/>
          <w:lang w:val="en-US"/>
        </w:rPr>
      </w:pPr>
      <w:r w:rsidRPr="0059700E">
        <w:rPr>
          <w:rFonts w:ascii="Trebuchet MS" w:hAnsi="Trebuchet MS" w:cs="Sakkal Majalla"/>
          <w:lang w:val="en-US"/>
        </w:rPr>
        <w:t xml:space="preserve">Wodak Ruth (2015). </w:t>
      </w:r>
      <w:r w:rsidRPr="0059700E">
        <w:rPr>
          <w:rFonts w:ascii="Trebuchet MS" w:hAnsi="Trebuchet MS" w:cs="Sakkal Majalla"/>
          <w:i/>
          <w:lang w:val="en-US"/>
        </w:rPr>
        <w:t>The Politics of Fear: What Right-Wing Populist Discourses Mean</w:t>
      </w:r>
      <w:r w:rsidRPr="0059700E">
        <w:rPr>
          <w:rFonts w:ascii="Trebuchet MS" w:hAnsi="Trebuchet MS" w:cs="Sakkal Majalla"/>
          <w:lang w:val="en-US"/>
        </w:rPr>
        <w:t>. New York: SAGE.</w:t>
      </w:r>
    </w:p>
    <w:p w14:paraId="79B8F591" w14:textId="77777777" w:rsidR="0045687E" w:rsidRDefault="0045687E" w:rsidP="0059700E">
      <w:pPr>
        <w:contextualSpacing/>
        <w:rPr>
          <w:rFonts w:ascii="Trebuchet MS" w:hAnsi="Trebuchet MS" w:cs="Sakkal Majalla"/>
          <w:lang w:val="en-US"/>
        </w:rPr>
      </w:pPr>
    </w:p>
    <w:p w14:paraId="7702AA3E" w14:textId="77777777" w:rsidR="00887AE9" w:rsidRPr="00887AE9" w:rsidRDefault="00887AE9" w:rsidP="0059700E">
      <w:pPr>
        <w:contextualSpacing/>
        <w:rPr>
          <w:rFonts w:ascii="Trebuchet MS" w:hAnsi="Trebuchet MS" w:cs="Sakkal Majalla"/>
          <w:lang w:val="en-US"/>
        </w:rPr>
      </w:pPr>
    </w:p>
    <w:p w14:paraId="54F727C6" w14:textId="77777777" w:rsidR="00050D0C" w:rsidRPr="0059700E" w:rsidRDefault="00050D0C" w:rsidP="0059700E">
      <w:pPr>
        <w:contextualSpacing/>
        <w:rPr>
          <w:rFonts w:ascii="Trebuchet MS" w:hAnsi="Trebuchet MS" w:cs="Sakkal Majalla"/>
          <w:lang w:val="en-US"/>
        </w:rPr>
      </w:pPr>
    </w:p>
    <w:p w14:paraId="28BDBCE9" w14:textId="77777777" w:rsidR="00050D0C" w:rsidRPr="0059700E" w:rsidRDefault="00050D0C" w:rsidP="0059700E">
      <w:pPr>
        <w:contextualSpacing/>
        <w:rPr>
          <w:rFonts w:ascii="Trebuchet MS" w:hAnsi="Trebuchet MS" w:cs="Sakkal Majalla"/>
          <w:lang w:val="en-US"/>
        </w:rPr>
      </w:pPr>
    </w:p>
    <w:p w14:paraId="1204F24A" w14:textId="77777777" w:rsidR="003B75F0" w:rsidRPr="0059700E" w:rsidRDefault="003B75F0" w:rsidP="0059700E">
      <w:pPr>
        <w:contextualSpacing/>
        <w:rPr>
          <w:rFonts w:ascii="Trebuchet MS" w:hAnsi="Trebuchet MS" w:cs="Sakkal Majalla"/>
          <w:lang w:val="en-US"/>
        </w:rPr>
      </w:pPr>
    </w:p>
    <w:p w14:paraId="62CFCAD6" w14:textId="77777777" w:rsidR="00EC7235" w:rsidRPr="0059700E" w:rsidRDefault="00EC7235" w:rsidP="0059700E">
      <w:pPr>
        <w:jc w:val="center"/>
        <w:rPr>
          <w:rFonts w:ascii="Trebuchet MS" w:hAnsi="Trebuchet MS" w:cs="Sakkal Majalla"/>
          <w:b/>
          <w:lang w:val="en-US"/>
        </w:rPr>
      </w:pPr>
    </w:p>
    <w:p w14:paraId="58A5584B" w14:textId="77777777" w:rsidR="00EC7235" w:rsidRPr="0059700E" w:rsidRDefault="00EC7235" w:rsidP="0059700E">
      <w:pPr>
        <w:jc w:val="center"/>
        <w:rPr>
          <w:rFonts w:ascii="Trebuchet MS" w:hAnsi="Trebuchet MS"/>
          <w:b/>
          <w:lang w:val="en-GB"/>
        </w:rPr>
      </w:pPr>
    </w:p>
    <w:sectPr w:rsidR="00EC7235" w:rsidRPr="0059700E" w:rsidSect="00183F84">
      <w:pgSz w:w="11906" w:h="16838"/>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46304" w14:textId="77777777" w:rsidR="005A0F2B" w:rsidRDefault="005A0F2B" w:rsidP="00EC7235">
      <w:r>
        <w:separator/>
      </w:r>
    </w:p>
  </w:endnote>
  <w:endnote w:type="continuationSeparator" w:id="0">
    <w:p w14:paraId="7A7CAAD6" w14:textId="77777777" w:rsidR="005A0F2B" w:rsidRDefault="005A0F2B" w:rsidP="00EC7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akkal Majalla">
    <w:charset w:val="B2"/>
    <w:family w:val="auto"/>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A054C" w14:textId="77777777" w:rsidR="005A0F2B" w:rsidRDefault="005A0F2B" w:rsidP="00EC7235">
      <w:r>
        <w:separator/>
      </w:r>
    </w:p>
  </w:footnote>
  <w:footnote w:type="continuationSeparator" w:id="0">
    <w:p w14:paraId="049B0651" w14:textId="77777777" w:rsidR="005A0F2B" w:rsidRDefault="005A0F2B" w:rsidP="00EC7235">
      <w:r>
        <w:continuationSeparator/>
      </w:r>
    </w:p>
  </w:footnote>
  <w:footnote w:id="1">
    <w:p w14:paraId="01F63B0A" w14:textId="77777777" w:rsidR="009D3EFC" w:rsidRPr="00BC41D2" w:rsidRDefault="009D3EFC" w:rsidP="009D3EFC">
      <w:pPr>
        <w:contextualSpacing/>
        <w:rPr>
          <w:rFonts w:ascii="Trebuchet MS" w:hAnsi="Trebuchet MS" w:cs="Sakkal Majalla"/>
          <w:sz w:val="20"/>
          <w:szCs w:val="20"/>
          <w:lang w:val="es-ES"/>
        </w:rPr>
      </w:pPr>
      <w:r w:rsidRPr="00BC41D2">
        <w:rPr>
          <w:rStyle w:val="Rimandonotaapidipagina"/>
          <w:rFonts w:ascii="Trebuchet MS" w:hAnsi="Trebuchet MS"/>
          <w:sz w:val="20"/>
          <w:szCs w:val="20"/>
        </w:rPr>
        <w:footnoteRef/>
      </w:r>
      <w:r w:rsidRPr="00BC41D2">
        <w:rPr>
          <w:rFonts w:ascii="Trebuchet MS" w:hAnsi="Trebuchet MS"/>
          <w:sz w:val="20"/>
          <w:szCs w:val="20"/>
        </w:rPr>
        <w:t xml:space="preserve"> </w:t>
      </w:r>
      <w:r w:rsidRPr="00BC41D2">
        <w:rPr>
          <w:rFonts w:ascii="Trebuchet MS" w:hAnsi="Trebuchet MS" w:cs="Sakkal Majalla"/>
          <w:sz w:val="20"/>
          <w:szCs w:val="20"/>
          <w:lang w:val="fr-FR"/>
        </w:rPr>
        <w:t xml:space="preserve">Attention : pour les articles rédigés </w:t>
      </w:r>
      <w:r w:rsidRPr="005D0542">
        <w:rPr>
          <w:rFonts w:ascii="Trebuchet MS" w:hAnsi="Trebuchet MS" w:cs="Sakkal Majalla"/>
          <w:sz w:val="20"/>
          <w:szCs w:val="20"/>
          <w:u w:val="single"/>
          <w:lang w:val="fr-FR"/>
        </w:rPr>
        <w:t>en français</w:t>
      </w:r>
      <w:r w:rsidRPr="00BC41D2">
        <w:rPr>
          <w:rFonts w:ascii="Trebuchet MS" w:hAnsi="Trebuchet MS" w:cs="Sakkal Majalla"/>
          <w:sz w:val="20"/>
          <w:szCs w:val="20"/>
          <w:lang w:val="fr-FR"/>
        </w:rPr>
        <w:t>, veuillez utiliser les guillemets et les espaces français (« exemple » </w:t>
      </w:r>
      <w:r w:rsidRPr="00BC41D2">
        <w:rPr>
          <w:rFonts w:ascii="Trebuchet MS" w:hAnsi="Trebuchet MS" w:cs="Sakkal Majalla"/>
          <w:sz w:val="20"/>
          <w:szCs w:val="20"/>
          <w:lang w:val="fr-CA"/>
        </w:rPr>
        <w:t>: exemple).</w:t>
      </w:r>
    </w:p>
    <w:p w14:paraId="5E43AA20" w14:textId="77777777" w:rsidR="009D3EFC" w:rsidRPr="00BC41D2" w:rsidRDefault="009D3EFC" w:rsidP="009D3EFC">
      <w:pPr>
        <w:contextualSpacing/>
        <w:rPr>
          <w:rFonts w:ascii="Trebuchet MS" w:hAnsi="Trebuchet MS" w:cs="Sakkal Majalla"/>
          <w:sz w:val="20"/>
          <w:szCs w:val="20"/>
          <w:lang w:val="es-ES"/>
        </w:rPr>
      </w:pPr>
      <w:r w:rsidRPr="00BC41D2">
        <w:rPr>
          <w:rFonts w:ascii="Trebuchet MS" w:hAnsi="Trebuchet MS" w:cs="Sakkal Majalla"/>
          <w:sz w:val="20"/>
          <w:szCs w:val="20"/>
          <w:lang w:val="es-ES"/>
        </w:rPr>
        <w:t xml:space="preserve">Atención: para artículos escritos </w:t>
      </w:r>
      <w:r w:rsidRPr="005D0542">
        <w:rPr>
          <w:rFonts w:ascii="Trebuchet MS" w:hAnsi="Trebuchet MS" w:cs="Sakkal Majalla"/>
          <w:sz w:val="20"/>
          <w:szCs w:val="20"/>
          <w:u w:val="single"/>
          <w:lang w:val="es-ES"/>
        </w:rPr>
        <w:t>en español</w:t>
      </w:r>
      <w:r w:rsidRPr="00BC41D2">
        <w:rPr>
          <w:rFonts w:ascii="Trebuchet MS" w:hAnsi="Trebuchet MS" w:cs="Sakkal Majalla"/>
          <w:sz w:val="20"/>
          <w:szCs w:val="20"/>
          <w:lang w:val="es-ES"/>
        </w:rPr>
        <w:t>, por favor use comillas en español (“ejemplo”)</w:t>
      </w:r>
      <w:r>
        <w:rPr>
          <w:rFonts w:ascii="Trebuchet MS" w:hAnsi="Trebuchet MS" w:cs="Sakkal Majalla"/>
          <w:sz w:val="20"/>
          <w:szCs w:val="20"/>
          <w:lang w:val="es-ES"/>
        </w:rPr>
        <w:t>.</w:t>
      </w:r>
    </w:p>
    <w:p w14:paraId="64E27002" w14:textId="77777777" w:rsidR="009D3EFC" w:rsidRDefault="009D3EFC" w:rsidP="009D3EFC">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9581F"/>
    <w:multiLevelType w:val="hybridMultilevel"/>
    <w:tmpl w:val="5C2696FA"/>
    <w:lvl w:ilvl="0" w:tplc="396A1FA4">
      <w:start w:val="1"/>
      <w:numFmt w:val="bullet"/>
      <w:lvlText w:val="-"/>
      <w:lvlJc w:val="left"/>
      <w:pPr>
        <w:ind w:left="720" w:hanging="360"/>
      </w:pPr>
      <w:rPr>
        <w:rFonts w:ascii="Book Antiqua" w:eastAsia="Times New Roman" w:hAnsi="Book Antiqua"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C868F0"/>
    <w:multiLevelType w:val="multilevel"/>
    <w:tmpl w:val="C2107080"/>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235"/>
    <w:rsid w:val="00005A76"/>
    <w:rsid w:val="000174AA"/>
    <w:rsid w:val="00027D38"/>
    <w:rsid w:val="00040E0C"/>
    <w:rsid w:val="00050D0C"/>
    <w:rsid w:val="00107701"/>
    <w:rsid w:val="00164C6E"/>
    <w:rsid w:val="00183F84"/>
    <w:rsid w:val="001D5EF2"/>
    <w:rsid w:val="002446BD"/>
    <w:rsid w:val="002E2051"/>
    <w:rsid w:val="002E416F"/>
    <w:rsid w:val="00363D53"/>
    <w:rsid w:val="003B75F0"/>
    <w:rsid w:val="0045687E"/>
    <w:rsid w:val="004A11A1"/>
    <w:rsid w:val="004B40FF"/>
    <w:rsid w:val="005431F7"/>
    <w:rsid w:val="0059700E"/>
    <w:rsid w:val="005A0F2B"/>
    <w:rsid w:val="005B2056"/>
    <w:rsid w:val="005D0542"/>
    <w:rsid w:val="00646C53"/>
    <w:rsid w:val="006E1172"/>
    <w:rsid w:val="007B54C1"/>
    <w:rsid w:val="007D580B"/>
    <w:rsid w:val="00887AE9"/>
    <w:rsid w:val="00895C61"/>
    <w:rsid w:val="008D2360"/>
    <w:rsid w:val="008F0FE4"/>
    <w:rsid w:val="009D3EFC"/>
    <w:rsid w:val="00BC41D2"/>
    <w:rsid w:val="00C46220"/>
    <w:rsid w:val="00CD2643"/>
    <w:rsid w:val="00CE744F"/>
    <w:rsid w:val="00DF048C"/>
    <w:rsid w:val="00EA6643"/>
    <w:rsid w:val="00EC7235"/>
    <w:rsid w:val="00FA23FE"/>
    <w:rsid w:val="00FA7C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A6B20"/>
  <w15:docId w15:val="{6087590F-EE95-44B9-BF21-D63BD70B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744F"/>
    <w:pPr>
      <w:spacing w:after="0" w:line="240" w:lineRule="auto"/>
      <w:jc w:val="both"/>
    </w:pPr>
    <w:rPr>
      <w:rFonts w:ascii="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EC7235"/>
    <w:rPr>
      <w:sz w:val="20"/>
      <w:szCs w:val="20"/>
    </w:rPr>
  </w:style>
  <w:style w:type="character" w:customStyle="1" w:styleId="TestonotaapidipaginaCarattere">
    <w:name w:val="Testo nota a piè di pagina Carattere"/>
    <w:basedOn w:val="Carpredefinitoparagrafo"/>
    <w:link w:val="Testonotaapidipagina"/>
    <w:uiPriority w:val="99"/>
    <w:rsid w:val="00EC7235"/>
    <w:rPr>
      <w:rFonts w:ascii="Times New Roman" w:hAnsi="Times New Roman" w:cs="Times New Roman"/>
      <w:sz w:val="20"/>
      <w:szCs w:val="20"/>
    </w:rPr>
  </w:style>
  <w:style w:type="character" w:styleId="Rimandonotaapidipagina">
    <w:name w:val="footnote reference"/>
    <w:basedOn w:val="Carpredefinitoparagrafo"/>
    <w:uiPriority w:val="99"/>
    <w:unhideWhenUsed/>
    <w:rsid w:val="00EC7235"/>
    <w:rPr>
      <w:vertAlign w:val="superscript"/>
    </w:rPr>
  </w:style>
  <w:style w:type="paragraph" w:styleId="Paragrafoelenco">
    <w:name w:val="List Paragraph"/>
    <w:basedOn w:val="Normale"/>
    <w:uiPriority w:val="34"/>
    <w:qFormat/>
    <w:rsid w:val="00EC7235"/>
    <w:pPr>
      <w:ind w:left="720"/>
      <w:contextualSpacing/>
    </w:pPr>
  </w:style>
  <w:style w:type="character" w:styleId="Rimandocommento">
    <w:name w:val="annotation reference"/>
    <w:basedOn w:val="Carpredefinitoparagrafo"/>
    <w:uiPriority w:val="99"/>
    <w:semiHidden/>
    <w:unhideWhenUsed/>
    <w:rsid w:val="003B75F0"/>
    <w:rPr>
      <w:sz w:val="16"/>
      <w:szCs w:val="16"/>
    </w:rPr>
  </w:style>
  <w:style w:type="paragraph" w:styleId="Testocommento">
    <w:name w:val="annotation text"/>
    <w:basedOn w:val="Normale"/>
    <w:link w:val="TestocommentoCarattere"/>
    <w:uiPriority w:val="99"/>
    <w:semiHidden/>
    <w:unhideWhenUsed/>
    <w:rsid w:val="003B75F0"/>
    <w:rPr>
      <w:sz w:val="20"/>
      <w:szCs w:val="20"/>
    </w:rPr>
  </w:style>
  <w:style w:type="character" w:customStyle="1" w:styleId="TestocommentoCarattere">
    <w:name w:val="Testo commento Carattere"/>
    <w:basedOn w:val="Carpredefinitoparagrafo"/>
    <w:link w:val="Testocommento"/>
    <w:uiPriority w:val="99"/>
    <w:semiHidden/>
    <w:rsid w:val="003B75F0"/>
    <w:rPr>
      <w:rFonts w:ascii="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3B75F0"/>
    <w:rPr>
      <w:b/>
      <w:bCs/>
    </w:rPr>
  </w:style>
  <w:style w:type="character" w:customStyle="1" w:styleId="SoggettocommentoCarattere">
    <w:name w:val="Soggetto commento Carattere"/>
    <w:basedOn w:val="TestocommentoCarattere"/>
    <w:link w:val="Soggettocommento"/>
    <w:uiPriority w:val="99"/>
    <w:semiHidden/>
    <w:rsid w:val="003B75F0"/>
    <w:rPr>
      <w:rFonts w:ascii="Times New Roman" w:hAnsi="Times New Roman" w:cs="Times New Roman"/>
      <w:b/>
      <w:bCs/>
      <w:sz w:val="20"/>
      <w:szCs w:val="20"/>
    </w:rPr>
  </w:style>
  <w:style w:type="paragraph" w:styleId="Testofumetto">
    <w:name w:val="Balloon Text"/>
    <w:basedOn w:val="Normale"/>
    <w:link w:val="TestofumettoCarattere"/>
    <w:uiPriority w:val="99"/>
    <w:semiHidden/>
    <w:unhideWhenUsed/>
    <w:rsid w:val="003B75F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75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CD1D9-5367-46A3-983D-72CD44119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cofelice</dc:creator>
  <cp:lastModifiedBy>elisabetta.tarasco</cp:lastModifiedBy>
  <cp:revision>4</cp:revision>
  <dcterms:created xsi:type="dcterms:W3CDTF">2020-05-05T06:54:00Z</dcterms:created>
  <dcterms:modified xsi:type="dcterms:W3CDTF">2020-06-27T12:49:00Z</dcterms:modified>
</cp:coreProperties>
</file>